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Brunello</w:t>
      </w:r>
    </w:p>
    <w:p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Varese</w:t>
      </w:r>
    </w:p>
    <w:p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 xml:space="preserve">Autodichiarazione del possesso di risorse economiche sufficienti per non diventare un onere a carico dell'assistenza sociale dello </w:t>
            </w:r>
            <w:r>
              <w:rPr>
                <w:b/>
                <w:bCs/>
                <w:color w:val="212121"/>
                <w:sz w:val="28"/>
                <w:szCs w:val="28"/>
              </w:rPr>
              <w:t>Stato</w:t>
            </w:r>
          </w:p>
          <w:p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</w:t>
      </w:r>
      <w:r>
        <w:rPr>
          <w:color w:val="000000"/>
        </w:rPr>
        <w:t xml:space="preserve">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</w:t>
      </w:r>
      <w:r>
        <w:rPr>
          <w:color w:val="000000"/>
        </w:rPr>
        <w:t>..........................................................., a conoscenza del disposto dell'art. 76 del d.P.R. 28 dicembre 2000, n. 445, che testualmente recita:</w:t>
      </w:r>
    </w:p>
    <w:p w:rsidR="000A770C" w:rsidRDefault="00AE0BDF">
      <w:pPr>
        <w:pStyle w:val="Standarduser"/>
        <w:shd w:val="clear" w:color="auto" w:fill="FFFFFF"/>
        <w:spacing w:before="120" w:line="276" w:lineRule="auto"/>
        <w:ind w:left="142" w:right="140"/>
        <w:jc w:val="both"/>
      </w:pPr>
      <w:r>
        <w:rPr>
          <w:b/>
          <w:i/>
          <w:iCs/>
          <w:color w:val="000000"/>
          <w:sz w:val="16"/>
          <w:szCs w:val="16"/>
        </w:rPr>
        <w:t>“Art. 76 - Norme penali.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</w:t>
      </w:r>
      <w:r>
        <w:rPr>
          <w:i/>
          <w:iCs/>
          <w:color w:val="000000"/>
          <w:spacing w:val="-2"/>
          <w:sz w:val="16"/>
          <w:szCs w:val="16"/>
        </w:rPr>
        <w:t>uso nei casi previsti dal presente testo unico è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0A770C" w:rsidRDefault="00AE0BDF">
      <w:pPr>
        <w:pStyle w:val="Standarduser"/>
        <w:shd w:val="clear" w:color="auto" w:fill="FFFFFF"/>
        <w:spacing w:before="120"/>
        <w:ind w:left="142" w:right="140" w:firstLine="284"/>
        <w:jc w:val="both"/>
      </w:pPr>
      <w:r>
        <w:rPr>
          <w:i/>
          <w:iCs/>
          <w:color w:val="000000"/>
          <w:sz w:val="16"/>
          <w:szCs w:val="16"/>
        </w:rPr>
        <w:t>3. Le dichiarazioni sostitutive res</w:t>
      </w:r>
      <w:r>
        <w:rPr>
          <w:i/>
          <w:iCs/>
          <w:color w:val="000000"/>
          <w:sz w:val="16"/>
          <w:szCs w:val="16"/>
        </w:rPr>
        <w:t xml:space="preserve">e ai sensi degli articoli 46 (certificazione) e 47 (notorietà) e le dichiarazioni rese per </w:t>
      </w:r>
      <w:r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>
        <w:rPr>
          <w:i/>
          <w:iCs/>
          <w:color w:val="000000"/>
          <w:sz w:val="16"/>
          <w:szCs w:val="16"/>
        </w:rPr>
        <w:t xml:space="preserve"> ufficiale.</w:t>
      </w:r>
    </w:p>
    <w:p w:rsidR="000A770C" w:rsidRDefault="00AE0BDF">
      <w:pPr>
        <w:pStyle w:val="Standarduser"/>
        <w:shd w:val="clear" w:color="auto" w:fill="FFFFFF"/>
        <w:spacing w:before="120" w:after="60"/>
        <w:ind w:left="142" w:right="140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</w:t>
      </w:r>
      <w:r>
        <w:rPr>
          <w:i/>
          <w:iCs/>
          <w:color w:val="000000"/>
          <w:spacing w:val="-2"/>
          <w:sz w:val="16"/>
          <w:szCs w:val="16"/>
        </w:rPr>
        <w:t xml:space="preserve"> 2 e 3 sono commessi per ottenere la nomina ad un pubblico ufficio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0A770C" w:rsidRDefault="00AE0BDF">
      <w:pPr>
        <w:pStyle w:val="Standarduser"/>
        <w:shd w:val="clear" w:color="auto" w:fill="FFFFFF"/>
        <w:spacing w:before="120" w:line="288" w:lineRule="auto"/>
        <w:jc w:val="both"/>
      </w:pPr>
      <w:r>
        <w:rPr>
          <w:color w:val="000000"/>
        </w:rPr>
        <w:t>ferma re</w:t>
      </w:r>
      <w:r>
        <w:rPr>
          <w:color w:val="000000"/>
        </w:rPr>
        <w:t>stando, a norma del disposto dell'art. 75, dello stesso d.P.R. n. 445/2000, nel caso di dichiarazione non veritiera, la decadenza dai benefici eventualmente conseguiti e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 xml:space="preserve">ai fini della richiesta di residenza, ai </w:t>
      </w:r>
      <w:r>
        <w:t>sensi di quanto previsto per</w:t>
      </w:r>
    </w:p>
    <w:p w:rsidR="000A770C" w:rsidRDefault="00AE0BDF">
      <w:pPr>
        <w:pStyle w:val="Standarduser"/>
        <w:shd w:val="clear" w:color="auto" w:fill="FFFFFF"/>
        <w:spacing w:before="24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</w:t>
      </w:r>
      <w:r>
        <w:rPr>
          <w:rFonts w:ascii="Helvetica" w:hAnsi="Helvetica"/>
          <w:color w:val="000000"/>
          <w:spacing w:val="2"/>
        </w:rPr>
        <w:t>rsonali raccolti saranno trattati, anche con strumenti informatici, esclusivamente nell’ambito del procedimento per il quale la presente istanza/dichiarazione viene resa.</w:t>
      </w:r>
    </w:p>
    <w:p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:rsidR="000A770C" w:rsidRDefault="00AE0BDF">
      <w:pPr>
        <w:pStyle w:val="Standarduser"/>
        <w:shd w:val="clear" w:color="auto" w:fill="FFFFFF"/>
        <w:spacing w:before="120" w:after="120"/>
        <w:ind w:left="5954"/>
        <w:jc w:val="center"/>
      </w:pPr>
      <w:r>
        <w:rPr>
          <w:b/>
          <w:bCs/>
          <w:color w:val="212121"/>
        </w:rPr>
        <w:t>IL/LA DICHIARAN</w:t>
      </w:r>
      <w:r>
        <w:rPr>
          <w:b/>
          <w:bCs/>
          <w:color w:val="212121"/>
        </w:rPr>
        <w:t>TE</w:t>
      </w:r>
    </w:p>
    <w:p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</w:t>
      </w:r>
      <w:bookmarkStart w:id="2" w:name="_GoBack"/>
      <w:bookmarkEnd w:id="2"/>
      <w:r>
        <w:t>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>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>
        <w:tblPrEx>
          <w:tblCellMar>
            <w:top w:w="0" w:type="dxa"/>
            <w:bottom w:w="0" w:type="dxa"/>
          </w:tblCellMar>
        </w:tblPrEx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0BDF" w:rsidRDefault="00AE0BDF">
      <w:r>
        <w:separator/>
      </w:r>
    </w:p>
  </w:endnote>
  <w:endnote w:type="continuationSeparator" w:id="0">
    <w:p w:rsidR="00AE0BDF" w:rsidRDefault="00AE0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30204"/>
    <w:charset w:val="00"/>
    <w:family w:val="swiss"/>
    <w:pitch w:val="variable"/>
    <w:sig w:usb0="A000002F" w:usb1="40000048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B5E3D" w:rsidRDefault="00AE0BD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0BDF" w:rsidRDefault="00AE0BDF">
      <w:r>
        <w:rPr>
          <w:color w:val="000000"/>
        </w:rPr>
        <w:separator/>
      </w:r>
    </w:p>
  </w:footnote>
  <w:footnote w:type="continuationSeparator" w:id="0">
    <w:p w:rsidR="00AE0BDF" w:rsidRDefault="00AE0BDF">
      <w:r>
        <w:continuationSeparator/>
      </w:r>
    </w:p>
  </w:footnote>
  <w:footnote w:id="1">
    <w:p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  <w:lvlOverride w:ilvl="0"/>
  </w:num>
  <w:num w:numId="10">
    <w:abstractNumId w:val="4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A770C"/>
    <w:rsid w:val="000A770C"/>
    <w:rsid w:val="00327CB8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Andrea Piredda</cp:lastModifiedBy>
  <cp:revision>3</cp:revision>
  <cp:lastPrinted>2005-11-24T15:25:00Z</cp:lastPrinted>
  <dcterms:created xsi:type="dcterms:W3CDTF">2018-09-24T13:06:00Z</dcterms:created>
  <dcterms:modified xsi:type="dcterms:W3CDTF">2018-09-24T13:07:00Z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